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  <w:gridCol w:w="100"/>
      </w:tblGrid>
      <w:tr w:rsidR="002C2AAD" w14:paraId="38C908B8" w14:textId="77777777">
        <w:trPr>
          <w:gridAfter w:val="1"/>
          <w:wAfter w:w="100" w:type="dxa"/>
          <w:cantSplit/>
          <w:jc w:val="center"/>
        </w:trPr>
        <w:tc>
          <w:tcPr>
            <w:tcW w:w="10656" w:type="dxa"/>
            <w:gridSpan w:val="3"/>
            <w:shd w:val="clear" w:color="auto" w:fill="12284A"/>
            <w:tcMar>
              <w:top w:w="210" w:type="dxa"/>
              <w:left w:w="250" w:type="dxa"/>
              <w:bottom w:w="200" w:type="dxa"/>
              <w:right w:w="250" w:type="dxa"/>
            </w:tcMar>
            <w:vAlign w:val="center"/>
          </w:tcPr>
          <w:p w14:paraId="5F69D729" w14:textId="260256F0" w:rsidR="002C2AAD" w:rsidRDefault="006F4628" w:rsidP="00046B2F">
            <w:pPr>
              <w:spacing w:after="60"/>
            </w:pPr>
            <w:r>
              <w:rPr>
                <w:b/>
                <w:noProof/>
                <w:color w:val="F7A057"/>
                <w:sz w:val="19"/>
              </w:rPr>
              <w:drawing>
                <wp:anchor distT="0" distB="0" distL="114300" distR="114300" simplePos="0" relativeHeight="251658240" behindDoc="0" locked="0" layoutInCell="1" allowOverlap="1" wp14:anchorId="2E9BF534" wp14:editId="0619C760">
                  <wp:simplePos x="0" y="0"/>
                  <wp:positionH relativeFrom="column">
                    <wp:posOffset>4548505</wp:posOffset>
                  </wp:positionH>
                  <wp:positionV relativeFrom="paragraph">
                    <wp:posOffset>-90170</wp:posOffset>
                  </wp:positionV>
                  <wp:extent cx="1885950" cy="327025"/>
                  <wp:effectExtent l="0" t="0" r="0" b="0"/>
                  <wp:wrapSquare wrapText="bothSides"/>
                  <wp:docPr id="2012523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52377" name="Picture 2012523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32C5">
              <w:rPr>
                <w:b/>
                <w:color w:val="F7A057"/>
                <w:sz w:val="19"/>
              </w:rPr>
              <w:t>PMO INSIGHT CONFERENCE EDINBURGH 2026</w:t>
            </w:r>
            <w:r w:rsidR="00046B2F">
              <w:rPr>
                <w:b/>
                <w:color w:val="F7A057"/>
                <w:sz w:val="19"/>
              </w:rPr>
              <w:br/>
            </w:r>
          </w:p>
          <w:p w14:paraId="7A703B26" w14:textId="36FBC23D" w:rsidR="002C2AAD" w:rsidRDefault="00DD32C5">
            <w:pPr>
              <w:spacing w:after="60"/>
            </w:pPr>
            <w:r>
              <w:rPr>
                <w:b/>
                <w:color w:val="FFFFFF"/>
                <w:sz w:val="44"/>
              </w:rPr>
              <w:t>Business Case to Attend</w:t>
            </w:r>
          </w:p>
          <w:p w14:paraId="3E9A194A" w14:textId="77777777" w:rsidR="002C2AAD" w:rsidRDefault="00DD32C5">
            <w:pPr>
              <w:spacing w:after="0"/>
            </w:pPr>
            <w:r>
              <w:rPr>
                <w:color w:val="FFFFFF"/>
                <w:sz w:val="21"/>
              </w:rPr>
              <w:t>From PMO Data to Decision-Ready Insight | Building the Decision-Enabling PMO</w:t>
            </w:r>
          </w:p>
        </w:tc>
      </w:tr>
      <w:tr w:rsidR="002C2AAD" w14:paraId="4324C182" w14:textId="77777777">
        <w:trPr>
          <w:cantSplit/>
          <w:jc w:val="center"/>
        </w:trPr>
        <w:tc>
          <w:tcPr>
            <w:tcW w:w="3552" w:type="dxa"/>
            <w:tcBorders>
              <w:right w:val="single" w:sz="6" w:space="0" w:color="D5DCE4"/>
            </w:tcBorders>
            <w:shd w:val="clear" w:color="auto" w:fill="EEF2F6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136056B5" w14:textId="77777777" w:rsidR="002C2AAD" w:rsidRDefault="00DD32C5">
            <w:pPr>
              <w:spacing w:after="20"/>
              <w:jc w:val="center"/>
            </w:pPr>
            <w:r>
              <w:rPr>
                <w:b/>
                <w:color w:val="F47B20"/>
                <w:sz w:val="15"/>
              </w:rPr>
              <w:t>DATES</w:t>
            </w:r>
          </w:p>
          <w:p w14:paraId="71EB2BC0" w14:textId="77777777" w:rsidR="002C2AAD" w:rsidRDefault="00DD32C5">
            <w:pPr>
              <w:spacing w:after="0"/>
              <w:jc w:val="center"/>
            </w:pPr>
            <w:r>
              <w:rPr>
                <w:b/>
                <w:color w:val="12284A"/>
                <w:sz w:val="18"/>
              </w:rPr>
              <w:t>16-17 November 2026</w:t>
            </w:r>
          </w:p>
        </w:tc>
        <w:tc>
          <w:tcPr>
            <w:tcW w:w="3552" w:type="dxa"/>
            <w:tcBorders>
              <w:right w:val="single" w:sz="6" w:space="0" w:color="D5DCE4"/>
            </w:tcBorders>
            <w:shd w:val="clear" w:color="auto" w:fill="EEF2F6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65FA6852" w14:textId="77777777" w:rsidR="002C2AAD" w:rsidRDefault="00DD32C5">
            <w:pPr>
              <w:spacing w:after="20"/>
              <w:jc w:val="center"/>
            </w:pPr>
            <w:r>
              <w:rPr>
                <w:b/>
                <w:color w:val="F47B20"/>
                <w:sz w:val="15"/>
              </w:rPr>
              <w:t>VENUE</w:t>
            </w:r>
          </w:p>
          <w:p w14:paraId="5281107E" w14:textId="77777777" w:rsidR="002C2AAD" w:rsidRDefault="00DD32C5">
            <w:pPr>
              <w:spacing w:after="0"/>
              <w:jc w:val="center"/>
            </w:pPr>
            <w:r>
              <w:rPr>
                <w:b/>
                <w:color w:val="12284A"/>
                <w:sz w:val="18"/>
              </w:rPr>
              <w:t>EICC, Edinburgh</w:t>
            </w:r>
          </w:p>
        </w:tc>
        <w:tc>
          <w:tcPr>
            <w:tcW w:w="3552" w:type="dxa"/>
            <w:gridSpan w:val="2"/>
            <w:shd w:val="clear" w:color="auto" w:fill="EEF2F6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3C629188" w14:textId="77777777" w:rsidR="002C2AAD" w:rsidRDefault="00DD32C5">
            <w:pPr>
              <w:spacing w:after="20"/>
              <w:jc w:val="center"/>
            </w:pPr>
            <w:r>
              <w:rPr>
                <w:b/>
                <w:color w:val="F47B20"/>
                <w:sz w:val="15"/>
              </w:rPr>
              <w:t>FORMAT</w:t>
            </w:r>
          </w:p>
          <w:p w14:paraId="2C75ED7E" w14:textId="77777777" w:rsidR="002C2AAD" w:rsidRDefault="00DD32C5">
            <w:pPr>
              <w:spacing w:after="0"/>
              <w:jc w:val="center"/>
            </w:pPr>
            <w:r>
              <w:rPr>
                <w:b/>
                <w:color w:val="12284A"/>
                <w:sz w:val="18"/>
              </w:rPr>
              <w:t>Two-day working conference</w:t>
            </w:r>
          </w:p>
        </w:tc>
      </w:tr>
    </w:tbl>
    <w:p w14:paraId="74205DAF" w14:textId="77777777" w:rsidR="002C2AAD" w:rsidRDefault="002C2AAD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2C2AAD" w14:paraId="30FE44FE" w14:textId="77777777">
        <w:trPr>
          <w:cantSplit/>
          <w:jc w:val="center"/>
        </w:trPr>
        <w:tc>
          <w:tcPr>
            <w:tcW w:w="3552" w:type="dxa"/>
            <w:tcBorders>
              <w:bottom w:val="single" w:sz="8" w:space="0" w:color="DCE3EA"/>
            </w:tcBorders>
            <w:shd w:val="clear" w:color="auto" w:fill="FAFBFC"/>
            <w:tcMar>
              <w:top w:w="80" w:type="dxa"/>
              <w:left w:w="135" w:type="dxa"/>
              <w:bottom w:w="80" w:type="dxa"/>
              <w:right w:w="135" w:type="dxa"/>
            </w:tcMar>
          </w:tcPr>
          <w:p w14:paraId="18B6EB07" w14:textId="77777777" w:rsidR="002C2AAD" w:rsidRDefault="00DD32C5">
            <w:pPr>
              <w:spacing w:after="0"/>
            </w:pPr>
            <w:r>
              <w:rPr>
                <w:b/>
                <w:color w:val="12284A"/>
                <w:sz w:val="15"/>
              </w:rPr>
              <w:t xml:space="preserve">NAME  </w:t>
            </w:r>
            <w:r>
              <w:rPr>
                <w:i/>
                <w:color w:val="666666"/>
                <w:sz w:val="17"/>
              </w:rPr>
              <w:t>[Your name]</w:t>
            </w:r>
          </w:p>
        </w:tc>
        <w:tc>
          <w:tcPr>
            <w:tcW w:w="3552" w:type="dxa"/>
            <w:tcBorders>
              <w:bottom w:val="single" w:sz="8" w:space="0" w:color="DCE3EA"/>
            </w:tcBorders>
            <w:shd w:val="clear" w:color="auto" w:fill="FAFBFC"/>
            <w:tcMar>
              <w:top w:w="80" w:type="dxa"/>
              <w:left w:w="135" w:type="dxa"/>
              <w:bottom w:w="80" w:type="dxa"/>
              <w:right w:w="135" w:type="dxa"/>
            </w:tcMar>
          </w:tcPr>
          <w:p w14:paraId="3C63271D" w14:textId="77777777" w:rsidR="002C2AAD" w:rsidRDefault="00DD32C5">
            <w:pPr>
              <w:spacing w:after="0"/>
            </w:pPr>
            <w:r>
              <w:rPr>
                <w:b/>
                <w:color w:val="12284A"/>
                <w:sz w:val="15"/>
              </w:rPr>
              <w:t xml:space="preserve">ROLE  </w:t>
            </w:r>
            <w:r>
              <w:rPr>
                <w:i/>
                <w:color w:val="666666"/>
                <w:sz w:val="17"/>
              </w:rPr>
              <w:t>[Your role]</w:t>
            </w:r>
          </w:p>
        </w:tc>
        <w:tc>
          <w:tcPr>
            <w:tcW w:w="3552" w:type="dxa"/>
            <w:tcBorders>
              <w:bottom w:val="single" w:sz="8" w:space="0" w:color="DCE3EA"/>
            </w:tcBorders>
            <w:shd w:val="clear" w:color="auto" w:fill="FAFBFC"/>
            <w:tcMar>
              <w:top w:w="80" w:type="dxa"/>
              <w:left w:w="135" w:type="dxa"/>
              <w:bottom w:w="80" w:type="dxa"/>
              <w:right w:w="135" w:type="dxa"/>
            </w:tcMar>
          </w:tcPr>
          <w:p w14:paraId="42E04685" w14:textId="77777777" w:rsidR="002C2AAD" w:rsidRDefault="00DD32C5">
            <w:pPr>
              <w:spacing w:after="0"/>
            </w:pPr>
            <w:r>
              <w:rPr>
                <w:b/>
                <w:color w:val="12284A"/>
                <w:sz w:val="15"/>
              </w:rPr>
              <w:t xml:space="preserve">PMO / ORGANISATION  </w:t>
            </w:r>
            <w:r>
              <w:rPr>
                <w:i/>
                <w:color w:val="666666"/>
                <w:sz w:val="17"/>
              </w:rPr>
              <w:t>[Your PMO / organisation]</w:t>
            </w:r>
          </w:p>
        </w:tc>
      </w:tr>
    </w:tbl>
    <w:p w14:paraId="25A99499" w14:textId="77777777" w:rsidR="002C2AAD" w:rsidRDefault="002C2AAD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2C2AAD" w14:paraId="439DC0FE" w14:textId="77777777">
        <w:trPr>
          <w:cantSplit/>
          <w:jc w:val="center"/>
        </w:trPr>
        <w:tc>
          <w:tcPr>
            <w:tcW w:w="5328" w:type="dxa"/>
            <w:tcBorders>
              <w:right w:val="single" w:sz="8" w:space="0" w:color="DCE3EA"/>
            </w:tcBorders>
            <w:tcMar>
              <w:top w:w="120" w:type="dxa"/>
              <w:left w:w="135" w:type="dxa"/>
              <w:bottom w:w="90" w:type="dxa"/>
              <w:right w:w="180" w:type="dxa"/>
            </w:tcMar>
          </w:tcPr>
          <w:p w14:paraId="75B680A1" w14:textId="77777777" w:rsidR="002C2AAD" w:rsidRDefault="00DD32C5">
            <w:pPr>
              <w:spacing w:after="80"/>
            </w:pPr>
            <w:r>
              <w:rPr>
                <w:b/>
                <w:color w:val="12284A"/>
                <w:sz w:val="28"/>
              </w:rPr>
              <w:t>Why I want to attend</w:t>
            </w:r>
          </w:p>
          <w:p w14:paraId="75719287" w14:textId="77777777" w:rsidR="002C2AAD" w:rsidRDefault="00DD32C5">
            <w:pPr>
              <w:spacing w:after="120" w:line="144" w:lineRule="auto"/>
            </w:pPr>
            <w:r>
              <w:rPr>
                <w:b/>
                <w:color w:val="F47B20"/>
                <w:sz w:val="16"/>
              </w:rPr>
              <w:t>━━━━</w:t>
            </w:r>
          </w:p>
          <w:p w14:paraId="210F3091" w14:textId="77777777" w:rsidR="002C2AAD" w:rsidRDefault="00DD32C5">
            <w:pPr>
              <w:spacing w:after="140" w:line="259" w:lineRule="auto"/>
            </w:pPr>
            <w:r>
              <w:rPr>
                <w:sz w:val="19"/>
              </w:rPr>
              <w:t>PMO Insight Edinburgh focuses on the shift from traditional reporting towards trusted data, useful insight, stronger judgement and better decision support. The programme is practical and discussion-led, so the aim is not simply to collect ideas but to work with them during the two days.</w:t>
            </w:r>
          </w:p>
          <w:p w14:paraId="5EC6F753" w14:textId="77777777" w:rsidR="002C2AAD" w:rsidRDefault="00DD32C5">
            <w:pPr>
              <w:spacing w:after="80"/>
            </w:pPr>
            <w:r>
              <w:rPr>
                <w:b/>
                <w:color w:val="12284A"/>
                <w:sz w:val="28"/>
              </w:rPr>
              <w:t>What I will bring back</w:t>
            </w:r>
          </w:p>
          <w:p w14:paraId="120B2464" w14:textId="77777777" w:rsidR="002C2AAD" w:rsidRDefault="00DD32C5">
            <w:pPr>
              <w:spacing w:after="80" w:line="144" w:lineRule="auto"/>
            </w:pPr>
            <w:r>
              <w:rPr>
                <w:b/>
                <w:color w:val="F47B20"/>
                <w:sz w:val="16"/>
              </w:rPr>
              <w:t>━━━━</w:t>
            </w:r>
          </w:p>
          <w:p w14:paraId="507FBFC2" w14:textId="77777777" w:rsidR="002C2AAD" w:rsidRDefault="00DD32C5">
            <w:pPr>
              <w:spacing w:after="68" w:line="250" w:lineRule="auto"/>
              <w:ind w:left="259" w:hanging="202"/>
            </w:pPr>
            <w:r>
              <w:rPr>
                <w:b/>
                <w:color w:val="F47B20"/>
                <w:sz w:val="22"/>
              </w:rPr>
              <w:t xml:space="preserve">• </w:t>
            </w:r>
            <w:r>
              <w:rPr>
                <w:b/>
                <w:color w:val="12284A"/>
                <w:sz w:val="19"/>
              </w:rPr>
              <w:t>A Decision Canvas</w:t>
            </w:r>
            <w:r>
              <w:rPr>
                <w:sz w:val="19"/>
              </w:rPr>
              <w:t xml:space="preserve"> to use with reporting, governance meetings and decision preparation.</w:t>
            </w:r>
          </w:p>
          <w:p w14:paraId="4FEC4E7E" w14:textId="77777777" w:rsidR="002C2AAD" w:rsidRDefault="00DD32C5">
            <w:pPr>
              <w:spacing w:after="68" w:line="250" w:lineRule="auto"/>
              <w:ind w:left="259" w:hanging="202"/>
            </w:pPr>
            <w:r>
              <w:rPr>
                <w:b/>
                <w:color w:val="F47B20"/>
                <w:sz w:val="22"/>
              </w:rPr>
              <w:t xml:space="preserve">• </w:t>
            </w:r>
            <w:r>
              <w:rPr>
                <w:b/>
                <w:color w:val="12284A"/>
                <w:sz w:val="19"/>
              </w:rPr>
              <w:t>A Data Confidence approach</w:t>
            </w:r>
            <w:r>
              <w:rPr>
                <w:sz w:val="19"/>
              </w:rPr>
              <w:t xml:space="preserve"> for testing the evidence behind dashboards and reports.</w:t>
            </w:r>
          </w:p>
          <w:p w14:paraId="378C0985" w14:textId="77777777" w:rsidR="002C2AAD" w:rsidRDefault="00DD32C5">
            <w:pPr>
              <w:spacing w:after="68" w:line="250" w:lineRule="auto"/>
              <w:ind w:left="259" w:hanging="202"/>
            </w:pPr>
            <w:r>
              <w:rPr>
                <w:b/>
                <w:color w:val="F47B20"/>
                <w:sz w:val="22"/>
              </w:rPr>
              <w:t xml:space="preserve">• </w:t>
            </w:r>
            <w:r>
              <w:rPr>
                <w:b/>
                <w:color w:val="12284A"/>
                <w:sz w:val="19"/>
              </w:rPr>
              <w:t>Decision-ready insight</w:t>
            </w:r>
            <w:r>
              <w:rPr>
                <w:sz w:val="19"/>
              </w:rPr>
              <w:t xml:space="preserve"> techniques for adding context, interpretation and a clearer call to action.</w:t>
            </w:r>
          </w:p>
          <w:p w14:paraId="125613AD" w14:textId="77777777" w:rsidR="002C2AAD" w:rsidRDefault="00DD32C5">
            <w:pPr>
              <w:spacing w:after="68" w:line="250" w:lineRule="auto"/>
              <w:ind w:left="259" w:hanging="202"/>
            </w:pPr>
            <w:r>
              <w:rPr>
                <w:b/>
                <w:color w:val="F47B20"/>
                <w:sz w:val="22"/>
              </w:rPr>
              <w:t xml:space="preserve">• </w:t>
            </w:r>
            <w:r>
              <w:rPr>
                <w:b/>
                <w:color w:val="12284A"/>
                <w:sz w:val="19"/>
              </w:rPr>
              <w:t>AI and governance</w:t>
            </w:r>
            <w:r>
              <w:rPr>
                <w:sz w:val="19"/>
              </w:rPr>
              <w:t xml:space="preserve"> thinking covering what PMOs should trust, verify, challenge and control.</w:t>
            </w:r>
          </w:p>
          <w:p w14:paraId="0B3D9DF5" w14:textId="77777777" w:rsidR="002C2AAD" w:rsidRDefault="00DD32C5">
            <w:pPr>
              <w:spacing w:after="68" w:line="250" w:lineRule="auto"/>
              <w:ind w:left="259" w:hanging="202"/>
            </w:pPr>
            <w:r>
              <w:rPr>
                <w:b/>
                <w:color w:val="F47B20"/>
                <w:sz w:val="22"/>
              </w:rPr>
              <w:t xml:space="preserve">• </w:t>
            </w:r>
            <w:r>
              <w:rPr>
                <w:b/>
                <w:color w:val="12284A"/>
                <w:sz w:val="19"/>
              </w:rPr>
              <w:t>A 90-day action plan</w:t>
            </w:r>
            <w:r>
              <w:rPr>
                <w:sz w:val="19"/>
              </w:rPr>
              <w:t xml:space="preserve"> to turn the conference learning into practical changes back at work.</w:t>
            </w:r>
          </w:p>
        </w:tc>
        <w:tc>
          <w:tcPr>
            <w:tcW w:w="5328" w:type="dxa"/>
            <w:shd w:val="clear" w:color="auto" w:fill="F8FAFC"/>
            <w:tcMar>
              <w:top w:w="120" w:type="dxa"/>
              <w:left w:w="180" w:type="dxa"/>
              <w:bottom w:w="90" w:type="dxa"/>
              <w:right w:w="135" w:type="dxa"/>
            </w:tcMar>
          </w:tcPr>
          <w:p w14:paraId="55E165C4" w14:textId="77777777" w:rsidR="002C2AAD" w:rsidRDefault="00DD32C5">
            <w:pPr>
              <w:spacing w:after="80"/>
            </w:pPr>
            <w:r>
              <w:rPr>
                <w:b/>
                <w:color w:val="12284A"/>
                <w:sz w:val="28"/>
              </w:rPr>
              <w:t>Value to our PMO</w:t>
            </w:r>
          </w:p>
          <w:p w14:paraId="4309FF06" w14:textId="77777777" w:rsidR="002C2AAD" w:rsidRDefault="00DD32C5">
            <w:pPr>
              <w:spacing w:after="100" w:line="144" w:lineRule="auto"/>
            </w:pPr>
            <w:r>
              <w:rPr>
                <w:b/>
                <w:color w:val="F47B20"/>
                <w:sz w:val="16"/>
              </w:rPr>
              <w:t>━━━━</w:t>
            </w:r>
          </w:p>
          <w:p w14:paraId="71895574" w14:textId="77777777" w:rsidR="002C2AAD" w:rsidRDefault="00DD32C5">
            <w:pPr>
              <w:spacing w:after="86" w:line="250" w:lineRule="auto"/>
              <w:ind w:left="230" w:hanging="187"/>
            </w:pPr>
            <w:r>
              <w:rPr>
                <w:b/>
                <w:color w:val="F47B20"/>
              </w:rPr>
              <w:t>✓</w:t>
            </w:r>
            <w:r>
              <w:rPr>
                <w:b/>
                <w:color w:val="F47B20"/>
              </w:rPr>
              <w:t xml:space="preserve"> </w:t>
            </w:r>
            <w:r>
              <w:rPr>
                <w:sz w:val="19"/>
              </w:rPr>
              <w:t>Improve how reporting is connected to the decisions leaders need to make.</w:t>
            </w:r>
          </w:p>
          <w:p w14:paraId="3CA03FE6" w14:textId="77777777" w:rsidR="002C2AAD" w:rsidRDefault="00DD32C5">
            <w:pPr>
              <w:spacing w:after="86" w:line="250" w:lineRule="auto"/>
              <w:ind w:left="230" w:hanging="187"/>
            </w:pPr>
            <w:r>
              <w:rPr>
                <w:b/>
                <w:color w:val="F47B20"/>
              </w:rPr>
              <w:t>✓</w:t>
            </w:r>
            <w:r>
              <w:rPr>
                <w:b/>
                <w:color w:val="F47B20"/>
              </w:rPr>
              <w:t xml:space="preserve"> </w:t>
            </w:r>
            <w:r>
              <w:rPr>
                <w:sz w:val="19"/>
              </w:rPr>
              <w:t>Identify weaknesses in data quality, trust, context and interpretation before they affect decisions.</w:t>
            </w:r>
          </w:p>
          <w:p w14:paraId="6AC01EAA" w14:textId="77777777" w:rsidR="002C2AAD" w:rsidRDefault="00DD32C5">
            <w:pPr>
              <w:spacing w:after="86" w:line="250" w:lineRule="auto"/>
              <w:ind w:left="230" w:hanging="187"/>
            </w:pPr>
            <w:r>
              <w:rPr>
                <w:b/>
                <w:color w:val="F47B20"/>
              </w:rPr>
              <w:t>✓</w:t>
            </w:r>
            <w:r>
              <w:rPr>
                <w:b/>
                <w:color w:val="F47B20"/>
              </w:rPr>
              <w:t xml:space="preserve"> </w:t>
            </w:r>
            <w:r>
              <w:rPr>
                <w:sz w:val="19"/>
              </w:rPr>
              <w:t>Compare our current approaches with other PMO practitioners and leaders.</w:t>
            </w:r>
          </w:p>
          <w:p w14:paraId="67653DDE" w14:textId="77777777" w:rsidR="002C2AAD" w:rsidRDefault="00DD32C5">
            <w:pPr>
              <w:spacing w:after="86" w:line="250" w:lineRule="auto"/>
              <w:ind w:left="230" w:hanging="187"/>
            </w:pPr>
            <w:r>
              <w:rPr>
                <w:b/>
                <w:color w:val="F47B20"/>
              </w:rPr>
              <w:t>✓</w:t>
            </w:r>
            <w:r>
              <w:rPr>
                <w:b/>
                <w:color w:val="F47B20"/>
              </w:rPr>
              <w:t xml:space="preserve"> </w:t>
            </w:r>
            <w:r>
              <w:rPr>
                <w:sz w:val="19"/>
              </w:rPr>
              <w:t>Build practical capability around AI use, assurance and governance.</w:t>
            </w:r>
          </w:p>
          <w:p w14:paraId="32034CE2" w14:textId="77777777" w:rsidR="002C2AAD" w:rsidRDefault="00DD32C5">
            <w:pPr>
              <w:spacing w:after="86" w:line="250" w:lineRule="auto"/>
              <w:ind w:left="230" w:hanging="187"/>
            </w:pPr>
            <w:r>
              <w:rPr>
                <w:b/>
                <w:color w:val="F47B20"/>
              </w:rPr>
              <w:t>✓</w:t>
            </w:r>
            <w:r>
              <w:rPr>
                <w:b/>
                <w:color w:val="F47B20"/>
              </w:rPr>
              <w:t xml:space="preserve"> </w:t>
            </w:r>
            <w:r>
              <w:rPr>
                <w:sz w:val="19"/>
              </w:rPr>
              <w:t>Bring reusable tools and event outputs back to colleagues, extending the value beyond one attendee.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28"/>
            </w:tblGrid>
            <w:tr w:rsidR="002C2AAD" w14:paraId="1594D7A5" w14:textId="77777777">
              <w:tc>
                <w:tcPr>
                  <w:tcW w:w="5328" w:type="dxa"/>
                  <w:tcBorders>
                    <w:left w:val="single" w:sz="18" w:space="0" w:color="F47B20"/>
                  </w:tcBorders>
                  <w:shd w:val="clear" w:color="auto" w:fill="FFF4EA"/>
                  <w:tcMar>
                    <w:top w:w="120" w:type="dxa"/>
                    <w:left w:w="135" w:type="dxa"/>
                    <w:bottom w:w="120" w:type="dxa"/>
                    <w:right w:w="135" w:type="dxa"/>
                  </w:tcMar>
                </w:tcPr>
                <w:p w14:paraId="43A94EC5" w14:textId="77777777" w:rsidR="002C2AAD" w:rsidRDefault="00DD32C5">
                  <w:pPr>
                    <w:spacing w:after="40"/>
                  </w:pPr>
                  <w:r>
                    <w:rPr>
                      <w:b/>
                      <w:color w:val="12284A"/>
                      <w:sz w:val="19"/>
                    </w:rPr>
                    <w:t>The key question</w:t>
                  </w:r>
                </w:p>
                <w:p w14:paraId="513FBF25" w14:textId="77777777" w:rsidR="002C2AAD" w:rsidRDefault="00DD32C5">
                  <w:pPr>
                    <w:spacing w:after="0" w:line="252" w:lineRule="auto"/>
                  </w:pPr>
                  <w:r>
                    <w:rPr>
                      <w:b/>
                      <w:color w:val="12284A"/>
                    </w:rPr>
                    <w:t>What decision will I be able to support differently after these two days?</w:t>
                  </w:r>
                </w:p>
              </w:tc>
            </w:tr>
          </w:tbl>
          <w:p w14:paraId="0A218952" w14:textId="77777777" w:rsidR="002C2AAD" w:rsidRDefault="002C2AAD"/>
        </w:tc>
      </w:tr>
    </w:tbl>
    <w:p w14:paraId="16019E94" w14:textId="77777777" w:rsidR="002C2AAD" w:rsidRDefault="002C2AAD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2C2AAD" w14:paraId="271AF6F1" w14:textId="77777777">
        <w:trPr>
          <w:cantSplit/>
          <w:jc w:val="center"/>
        </w:trPr>
        <w:tc>
          <w:tcPr>
            <w:tcW w:w="10656" w:type="dxa"/>
            <w:shd w:val="clear" w:color="auto" w:fill="12284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2D401F" w14:textId="77777777" w:rsidR="002C2AAD" w:rsidRDefault="00DD32C5">
            <w:pPr>
              <w:spacing w:after="100"/>
            </w:pPr>
            <w:r>
              <w:rPr>
                <w:b/>
                <w:color w:val="FFFFFF"/>
                <w:sz w:val="25"/>
              </w:rPr>
              <w:t>How I'll apply the learning</w:t>
            </w:r>
          </w:p>
          <w:p w14:paraId="7E01D37A" w14:textId="77777777" w:rsidR="002C2AAD" w:rsidRDefault="00DD32C5">
            <w:pPr>
              <w:spacing w:after="0" w:line="252" w:lineRule="auto"/>
            </w:pPr>
            <w:r>
              <w:rPr>
                <w:b/>
                <w:color w:val="F7A057"/>
                <w:sz w:val="19"/>
              </w:rPr>
              <w:t xml:space="preserve">1. </w:t>
            </w:r>
            <w:r>
              <w:rPr>
                <w:color w:val="FFFFFF"/>
                <w:sz w:val="18"/>
              </w:rPr>
              <w:t xml:space="preserve">Share the key tools and outputs with the PMO team.   </w:t>
            </w:r>
            <w:r>
              <w:rPr>
                <w:b/>
                <w:color w:val="F7A057"/>
                <w:sz w:val="19"/>
              </w:rPr>
              <w:t xml:space="preserve">2. </w:t>
            </w:r>
            <w:r>
              <w:rPr>
                <w:color w:val="FFFFFF"/>
                <w:sz w:val="18"/>
              </w:rPr>
              <w:t xml:space="preserve">Choose one current reporting or decision-support challenge to test.   </w:t>
            </w:r>
            <w:r>
              <w:rPr>
                <w:b/>
                <w:color w:val="F7A057"/>
                <w:sz w:val="19"/>
              </w:rPr>
              <w:t xml:space="preserve">3. </w:t>
            </w:r>
            <w:r>
              <w:rPr>
                <w:color w:val="FFFFFF"/>
                <w:sz w:val="18"/>
              </w:rPr>
              <w:t>Use the 90-day plan to agree and track the first practical changes.</w:t>
            </w:r>
          </w:p>
        </w:tc>
      </w:tr>
    </w:tbl>
    <w:p w14:paraId="50804CB3" w14:textId="77777777" w:rsidR="002C2AAD" w:rsidRDefault="002C2AAD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2C2AAD" w14:paraId="3913AA89" w14:textId="77777777">
        <w:trPr>
          <w:cantSplit/>
          <w:jc w:val="center"/>
        </w:trPr>
        <w:tc>
          <w:tcPr>
            <w:tcW w:w="3552" w:type="dxa"/>
            <w:shd w:val="clear" w:color="auto" w:fill="E9EEF3"/>
            <w:tcMar>
              <w:top w:w="70" w:type="dxa"/>
              <w:left w:w="120" w:type="dxa"/>
              <w:bottom w:w="65" w:type="dxa"/>
              <w:right w:w="120" w:type="dxa"/>
            </w:tcMar>
          </w:tcPr>
          <w:p w14:paraId="650B3E00" w14:textId="77777777" w:rsidR="002C2AAD" w:rsidRDefault="00DD32C5">
            <w:pPr>
              <w:spacing w:after="0"/>
              <w:jc w:val="center"/>
            </w:pPr>
            <w:r>
              <w:rPr>
                <w:b/>
                <w:color w:val="12284A"/>
                <w:sz w:val="16"/>
              </w:rPr>
              <w:t>INVESTMENT</w:t>
            </w:r>
          </w:p>
        </w:tc>
        <w:tc>
          <w:tcPr>
            <w:tcW w:w="3552" w:type="dxa"/>
            <w:shd w:val="clear" w:color="auto" w:fill="E9EEF3"/>
            <w:tcMar>
              <w:top w:w="70" w:type="dxa"/>
              <w:left w:w="120" w:type="dxa"/>
              <w:bottom w:w="65" w:type="dxa"/>
              <w:right w:w="120" w:type="dxa"/>
            </w:tcMar>
          </w:tcPr>
          <w:p w14:paraId="7B567112" w14:textId="77777777" w:rsidR="002C2AAD" w:rsidRDefault="00DD32C5">
            <w:pPr>
              <w:spacing w:after="0"/>
              <w:jc w:val="center"/>
            </w:pPr>
            <w:r>
              <w:rPr>
                <w:b/>
                <w:color w:val="12284A"/>
                <w:sz w:val="16"/>
              </w:rPr>
              <w:t>TIME AWAY</w:t>
            </w:r>
          </w:p>
        </w:tc>
        <w:tc>
          <w:tcPr>
            <w:tcW w:w="3552" w:type="dxa"/>
            <w:shd w:val="clear" w:color="auto" w:fill="E9EEF3"/>
            <w:tcMar>
              <w:top w:w="70" w:type="dxa"/>
              <w:left w:w="120" w:type="dxa"/>
              <w:bottom w:w="65" w:type="dxa"/>
              <w:right w:w="120" w:type="dxa"/>
            </w:tcMar>
          </w:tcPr>
          <w:p w14:paraId="3E3CAF08" w14:textId="77777777" w:rsidR="002C2AAD" w:rsidRDefault="00DD32C5">
            <w:pPr>
              <w:spacing w:after="0"/>
              <w:jc w:val="center"/>
            </w:pPr>
            <w:r>
              <w:rPr>
                <w:b/>
                <w:color w:val="12284A"/>
                <w:sz w:val="16"/>
              </w:rPr>
              <w:t>APPROVAL</w:t>
            </w:r>
          </w:p>
        </w:tc>
      </w:tr>
      <w:tr w:rsidR="002C2AAD" w14:paraId="1878B7C5" w14:textId="77777777">
        <w:trPr>
          <w:cantSplit/>
          <w:jc w:val="center"/>
        </w:trPr>
        <w:tc>
          <w:tcPr>
            <w:tcW w:w="3552" w:type="dxa"/>
            <w:tcBorders>
              <w:top w:val="single" w:sz="4" w:space="0" w:color="DCE3EA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822170" w14:textId="77777777" w:rsidR="002C2AAD" w:rsidRDefault="00DD32C5">
            <w:pPr>
              <w:spacing w:after="0" w:line="252" w:lineRule="auto"/>
              <w:jc w:val="center"/>
            </w:pPr>
            <w:r>
              <w:rPr>
                <w:color w:val="555555"/>
                <w:sz w:val="17"/>
              </w:rPr>
              <w:t>Ticket: £[     ] + travel/accommodation</w:t>
            </w:r>
          </w:p>
        </w:tc>
        <w:tc>
          <w:tcPr>
            <w:tcW w:w="3552" w:type="dxa"/>
            <w:tcBorders>
              <w:top w:val="single" w:sz="4" w:space="0" w:color="DCE3EA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498D19" w14:textId="77777777" w:rsidR="002C2AAD" w:rsidRDefault="00DD32C5">
            <w:pPr>
              <w:spacing w:after="0" w:line="252" w:lineRule="auto"/>
              <w:jc w:val="center"/>
            </w:pPr>
            <w:r>
              <w:rPr>
                <w:color w:val="555555"/>
                <w:sz w:val="17"/>
              </w:rPr>
              <w:t>Two conference days</w:t>
            </w:r>
            <w:r>
              <w:br/>
            </w:r>
            <w:r>
              <w:rPr>
                <w:color w:val="555555"/>
                <w:sz w:val="17"/>
              </w:rPr>
              <w:t>16-17 November 2026</w:t>
            </w:r>
          </w:p>
        </w:tc>
        <w:tc>
          <w:tcPr>
            <w:tcW w:w="3552" w:type="dxa"/>
            <w:tcBorders>
              <w:top w:val="single" w:sz="4" w:space="0" w:color="DCE3EA"/>
            </w:tcBorders>
            <w:shd w:val="clear" w:color="auto" w:fill="FAFB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6AF87" w14:textId="77777777" w:rsidR="002C2AAD" w:rsidRDefault="00DD32C5">
            <w:pPr>
              <w:spacing w:after="0" w:line="252" w:lineRule="auto"/>
              <w:jc w:val="center"/>
            </w:pPr>
            <w:r>
              <w:rPr>
                <w:color w:val="555555"/>
                <w:sz w:val="17"/>
              </w:rPr>
              <w:t>Approved by: [                     ]</w:t>
            </w:r>
            <w:r>
              <w:br/>
            </w:r>
            <w:r>
              <w:rPr>
                <w:color w:val="555555"/>
                <w:sz w:val="17"/>
              </w:rPr>
              <w:t>Date: [              ]</w:t>
            </w:r>
          </w:p>
        </w:tc>
      </w:tr>
    </w:tbl>
    <w:p w14:paraId="6A2EBF5B" w14:textId="77777777" w:rsidR="002C2AAD" w:rsidRDefault="00DD32C5">
      <w:pPr>
        <w:spacing w:before="100" w:after="0"/>
        <w:jc w:val="center"/>
      </w:pPr>
      <w:r>
        <w:rPr>
          <w:color w:val="777777"/>
          <w:sz w:val="15"/>
        </w:rPr>
        <w:t>PMO Insight Conference Edinburgh 2026  |  16-17 November 2026  |  houseofpmo.com</w:t>
      </w:r>
    </w:p>
    <w:sectPr w:rsidR="002C2AAD" w:rsidSect="00034616">
      <w:pgSz w:w="12240" w:h="15840"/>
      <w:pgMar w:top="648" w:right="792" w:bottom="648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0139666">
    <w:abstractNumId w:val="8"/>
  </w:num>
  <w:num w:numId="2" w16cid:durableId="1603298703">
    <w:abstractNumId w:val="6"/>
  </w:num>
  <w:num w:numId="3" w16cid:durableId="1448112556">
    <w:abstractNumId w:val="5"/>
  </w:num>
  <w:num w:numId="4" w16cid:durableId="750156763">
    <w:abstractNumId w:val="4"/>
  </w:num>
  <w:num w:numId="5" w16cid:durableId="2004628000">
    <w:abstractNumId w:val="7"/>
  </w:num>
  <w:num w:numId="6" w16cid:durableId="1656302977">
    <w:abstractNumId w:val="3"/>
  </w:num>
  <w:num w:numId="7" w16cid:durableId="1453283995">
    <w:abstractNumId w:val="2"/>
  </w:num>
  <w:num w:numId="8" w16cid:durableId="1622345001">
    <w:abstractNumId w:val="1"/>
  </w:num>
  <w:num w:numId="9" w16cid:durableId="34309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F48"/>
    <w:rsid w:val="00046B2F"/>
    <w:rsid w:val="0006063C"/>
    <w:rsid w:val="0015074B"/>
    <w:rsid w:val="0029639D"/>
    <w:rsid w:val="002C2AAD"/>
    <w:rsid w:val="00326F90"/>
    <w:rsid w:val="00596431"/>
    <w:rsid w:val="006F4628"/>
    <w:rsid w:val="00871EA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6D610D8-3561-4B58-B3BB-2D05B121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Open Sans" w:eastAsia="Open Sans" w:hAnsi="Open San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CBullet">
    <w:name w:val="BC Bullet"/>
    <w:pPr>
      <w:spacing w:after="50" w:line="254" w:lineRule="auto"/>
      <w:ind w:left="274" w:hanging="173"/>
    </w:pPr>
    <w:rPr>
      <w:rFonts w:ascii="Open Sans" w:eastAsia="Open Sans" w:hAnsi="Open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495777C540B34EA908BFC4D7DC7079" ma:contentTypeVersion="13" ma:contentTypeDescription="Create a new document." ma:contentTypeScope="" ma:versionID="9765aba7187e3daa766831022e7f8f3d">
  <xsd:schema xmlns:xsd="http://www.w3.org/2001/XMLSchema" xmlns:xs="http://www.w3.org/2001/XMLSchema" xmlns:p="http://schemas.microsoft.com/office/2006/metadata/properties" xmlns:ns2="70ab3df3-997b-468c-b4bc-c6a68886ffc3" xmlns:ns3="13043229-d779-4c8c-8aa1-ed920eaa0679" targetNamespace="http://schemas.microsoft.com/office/2006/metadata/properties" ma:root="true" ma:fieldsID="07fb23217d6d4e57f1cefd676b09943b" ns2:_="" ns3:_="">
    <xsd:import namespace="70ab3df3-997b-468c-b4bc-c6a68886ffc3"/>
    <xsd:import namespace="13043229-d779-4c8c-8aa1-ed920eaa0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b3df3-997b-468c-b4bc-c6a68886ff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7f229f5-ee1a-4613-a7a3-7f7ec98b0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43229-d779-4c8c-8aa1-ed920eaa067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6fe2181-deeb-4a56-9685-9a8c35e041f8}" ma:internalName="TaxCatchAll" ma:showField="CatchAllData" ma:web="13043229-d779-4c8c-8aa1-ed920eaa06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ab3df3-997b-468c-b4bc-c6a68886ffc3">
      <Terms xmlns="http://schemas.microsoft.com/office/infopath/2007/PartnerControls"/>
    </lcf76f155ced4ddcb4097134ff3c332f>
    <TaxCatchAll xmlns="13043229-d779-4c8c-8aa1-ed920eaa067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C44A6-8F59-444F-8F91-A4FCFB9F8253}"/>
</file>

<file path=customXml/itemProps3.xml><?xml version="1.0" encoding="utf-8"?>
<ds:datastoreItem xmlns:ds="http://schemas.openxmlformats.org/officeDocument/2006/customXml" ds:itemID="{C4ED4B93-634C-4D8A-8C21-752E39ED7B4C}"/>
</file>

<file path=customXml/itemProps4.xml><?xml version="1.0" encoding="utf-8"?>
<ds:datastoreItem xmlns:ds="http://schemas.openxmlformats.org/officeDocument/2006/customXml" ds:itemID="{62B065A9-89DD-48D3-90CA-CFF7C955B6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1816</Characters>
  <Application>Microsoft Office Word</Application>
  <DocSecurity>0</DocSecurity>
  <Lines>60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Case to Attend - PMO Insight Conference Edinburgh 2026</vt:lpstr>
    </vt:vector>
  </TitlesOfParts>
  <Manager/>
  <Company/>
  <LinksUpToDate>false</LinksUpToDate>
  <CharactersWithSpaces>2095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 to Attend - PMO Insight Conference Edinburgh 2026</dc:title>
  <dc:subject>Editable one-page business case template for delegate approval</dc:subject>
  <dc:creator>House of PMO</dc:creator>
  <cp:keywords/>
  <dc:description/>
  <cp:lastModifiedBy>Lindsay Scott</cp:lastModifiedBy>
  <cp:revision>2</cp:revision>
  <dcterms:created xsi:type="dcterms:W3CDTF">2026-08-26T15:49:00Z</dcterms:created>
  <dcterms:modified xsi:type="dcterms:W3CDTF">2026-08-26T15:49:00Z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0x0101004E495777C540B34EA908BFC4D7DC7079</vt:lpwstr>
  </property>
</Properties>
</file>